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4E6" w:rsidRDefault="008264E6" w:rsidP="008264E6">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4F541D3D" wp14:editId="68F292D6">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64E6" w:rsidRDefault="008264E6" w:rsidP="008264E6">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8264E6" w:rsidRDefault="008264E6" w:rsidP="008264E6">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8264E6" w:rsidRDefault="008264E6" w:rsidP="008264E6">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8264E6" w:rsidRDefault="008264E6" w:rsidP="008264E6">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8264E6" w:rsidRDefault="008264E6" w:rsidP="008264E6">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8264E6" w:rsidRDefault="008264E6" w:rsidP="008264E6">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eastAsia="uk-UA"/>
        </w:rPr>
        <w:drawing>
          <wp:inline distT="0" distB="0" distL="0" distR="0" wp14:anchorId="3CF8083D" wp14:editId="1260E69A">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CC4C9A" w:rsidRDefault="00CC4C9A" w:rsidP="008264E6">
      <w:pPr>
        <w:spacing w:after="0"/>
        <w:ind w:firstLine="709"/>
        <w:jc w:val="center"/>
        <w:rPr>
          <w:rFonts w:ascii="Times New Roman" w:eastAsia="Times New Roman" w:hAnsi="Times New Roman" w:cs="Times New Roman"/>
          <w:b/>
          <w:sz w:val="24"/>
          <w:szCs w:val="24"/>
          <w:lang w:val="uk-UA" w:eastAsia="ru-RU"/>
        </w:rPr>
      </w:pPr>
      <w:r w:rsidRPr="00CC4C9A">
        <w:rPr>
          <w:rFonts w:ascii="Times New Roman" w:eastAsia="Times New Roman" w:hAnsi="Times New Roman" w:cs="Times New Roman"/>
          <w:b/>
          <w:sz w:val="24"/>
          <w:szCs w:val="24"/>
          <w:lang w:val="uk-UA" w:eastAsia="ru-RU"/>
        </w:rPr>
        <w:t>Платникам ПДВ про особливості включення до податкового кредиту сум ПДВ за операціями, які відбулися протягом лютого – травня 2022 року</w:t>
      </w:r>
    </w:p>
    <w:p w:rsidR="008264E6" w:rsidRPr="00CC4C9A" w:rsidRDefault="008264E6" w:rsidP="00CC4C9A">
      <w:pPr>
        <w:spacing w:after="0"/>
        <w:ind w:firstLine="709"/>
        <w:jc w:val="both"/>
        <w:rPr>
          <w:rFonts w:ascii="Times New Roman" w:eastAsia="Times New Roman" w:hAnsi="Times New Roman" w:cs="Times New Roman"/>
          <w:b/>
          <w:sz w:val="24"/>
          <w:szCs w:val="24"/>
          <w:lang w:val="uk-UA" w:eastAsia="ru-RU"/>
        </w:rPr>
      </w:pPr>
    </w:p>
    <w:p w:rsidR="00CC4C9A" w:rsidRPr="00CC4C9A" w:rsidRDefault="00CC4C9A" w:rsidP="00CC4C9A">
      <w:pPr>
        <w:spacing w:after="0"/>
        <w:ind w:firstLine="709"/>
        <w:jc w:val="both"/>
        <w:rPr>
          <w:rFonts w:ascii="Times New Roman" w:eastAsia="Times New Roman" w:hAnsi="Times New Roman" w:cs="Times New Roman"/>
          <w:sz w:val="24"/>
          <w:szCs w:val="24"/>
          <w:lang w:val="uk-UA" w:eastAsia="ru-RU"/>
        </w:rPr>
      </w:pPr>
      <w:r w:rsidRPr="00CC4C9A">
        <w:rPr>
          <w:rFonts w:ascii="Times New Roman" w:eastAsia="Times New Roman" w:hAnsi="Times New Roman" w:cs="Times New Roman"/>
          <w:sz w:val="24"/>
          <w:szCs w:val="24"/>
          <w:lang w:val="uk-UA" w:eastAsia="ru-RU"/>
        </w:rPr>
        <w:t>У податковій декларації якого звітного періоду може бути включена до податкового кредиту сума ПДВ за операціями, які відбулися протягом лютого – травня 2022 року, якщо платник податку – покупець не сформував податковий кредит на підставі наявних первинних (розрахункових) документів та не подав звітність за ці періоди, а податкові накладні за такими операціями зареєстровані постачальником в ЄРПН до 15.07.2022 року?</w:t>
      </w:r>
    </w:p>
    <w:p w:rsidR="00CC4C9A" w:rsidRPr="00CC4C9A" w:rsidRDefault="00CC4C9A" w:rsidP="00CC4C9A">
      <w:pPr>
        <w:spacing w:after="0"/>
        <w:ind w:firstLine="709"/>
        <w:jc w:val="both"/>
        <w:rPr>
          <w:rFonts w:ascii="Times New Roman" w:eastAsia="Times New Roman" w:hAnsi="Times New Roman" w:cs="Times New Roman"/>
          <w:sz w:val="24"/>
          <w:szCs w:val="24"/>
          <w:lang w:val="uk-UA" w:eastAsia="ru-RU"/>
        </w:rPr>
      </w:pPr>
      <w:r w:rsidRPr="00CC4C9A">
        <w:rPr>
          <w:rFonts w:ascii="Times New Roman" w:eastAsia="Times New Roman" w:hAnsi="Times New Roman" w:cs="Times New Roman"/>
          <w:sz w:val="24"/>
          <w:szCs w:val="24"/>
          <w:lang w:val="uk-UA" w:eastAsia="ru-RU"/>
        </w:rPr>
        <w:t xml:space="preserve">Відповідно до п. 32 прим. 2 </w:t>
      </w:r>
      <w:proofErr w:type="spellStart"/>
      <w:r w:rsidRPr="00CC4C9A">
        <w:rPr>
          <w:rFonts w:ascii="Times New Roman" w:eastAsia="Times New Roman" w:hAnsi="Times New Roman" w:cs="Times New Roman"/>
          <w:sz w:val="24"/>
          <w:szCs w:val="24"/>
          <w:lang w:val="uk-UA" w:eastAsia="ru-RU"/>
        </w:rPr>
        <w:t>підрозд</w:t>
      </w:r>
      <w:proofErr w:type="spellEnd"/>
      <w:r w:rsidRPr="00CC4C9A">
        <w:rPr>
          <w:rFonts w:ascii="Times New Roman" w:eastAsia="Times New Roman" w:hAnsi="Times New Roman" w:cs="Times New Roman"/>
          <w:sz w:val="24"/>
          <w:szCs w:val="24"/>
          <w:lang w:val="uk-UA" w:eastAsia="ru-RU"/>
        </w:rPr>
        <w:t xml:space="preserve">. 2 </w:t>
      </w:r>
      <w:proofErr w:type="spellStart"/>
      <w:r w:rsidRPr="00CC4C9A">
        <w:rPr>
          <w:rFonts w:ascii="Times New Roman" w:eastAsia="Times New Roman" w:hAnsi="Times New Roman" w:cs="Times New Roman"/>
          <w:sz w:val="24"/>
          <w:szCs w:val="24"/>
          <w:lang w:val="uk-UA" w:eastAsia="ru-RU"/>
        </w:rPr>
        <w:t>розд</w:t>
      </w:r>
      <w:proofErr w:type="spellEnd"/>
      <w:r w:rsidRPr="00CC4C9A">
        <w:rPr>
          <w:rFonts w:ascii="Times New Roman" w:eastAsia="Times New Roman" w:hAnsi="Times New Roman" w:cs="Times New Roman"/>
          <w:sz w:val="24"/>
          <w:szCs w:val="24"/>
          <w:lang w:val="uk-UA" w:eastAsia="ru-RU"/>
        </w:rPr>
        <w:t>. ХХ Податкового кодексу України (далі – ПК) тимчасово за податкові періоди лютий, березень, квітень, травень 2022 року за операціями з придбання товарів/послуг, за якими в Єдиному реєстрі податкових накладних (далі – ЄРПН) постачальниками не зареєстровано податкові накладні та/або розрахунки коригування до них, платники податку:</w:t>
      </w:r>
    </w:p>
    <w:p w:rsidR="00CC4C9A" w:rsidRPr="00CC4C9A" w:rsidRDefault="00CC4C9A" w:rsidP="00CC4C9A">
      <w:pPr>
        <w:spacing w:after="0"/>
        <w:ind w:firstLine="709"/>
        <w:jc w:val="both"/>
        <w:rPr>
          <w:rFonts w:ascii="Times New Roman" w:eastAsia="Times New Roman" w:hAnsi="Times New Roman" w:cs="Times New Roman"/>
          <w:sz w:val="24"/>
          <w:szCs w:val="24"/>
          <w:lang w:val="uk-UA" w:eastAsia="ru-RU"/>
        </w:rPr>
      </w:pPr>
      <w:r w:rsidRPr="00CC4C9A">
        <w:rPr>
          <w:rFonts w:ascii="Times New Roman" w:eastAsia="Times New Roman" w:hAnsi="Times New Roman" w:cs="Times New Roman"/>
          <w:sz w:val="24"/>
          <w:szCs w:val="24"/>
          <w:lang w:val="uk-UA" w:eastAsia="ru-RU"/>
        </w:rPr>
        <w:t>- включають до складу податкового кредиту звітного (податкового) періоду суми ПДВ, сплачені (нараховані) у складі вартості придбаних товарів/послуг, на підставі наявних у платника первинних (розрахункових) документів, складених (отриманих) платником податку за операціями з придбання товарів/послуг відповідно до Закону України від 16 липня 1999 року № 996-XIV «Про бухгалтерський облік та фінансову звітність в Україні» зі змінами і доповненнями (далі – Закон № 996);</w:t>
      </w:r>
    </w:p>
    <w:p w:rsidR="00CC4C9A" w:rsidRPr="00CC4C9A" w:rsidRDefault="00CC4C9A" w:rsidP="00CC4C9A">
      <w:pPr>
        <w:spacing w:after="0"/>
        <w:ind w:firstLine="709"/>
        <w:jc w:val="both"/>
        <w:rPr>
          <w:rFonts w:ascii="Times New Roman" w:eastAsia="Times New Roman" w:hAnsi="Times New Roman" w:cs="Times New Roman"/>
          <w:sz w:val="24"/>
          <w:szCs w:val="24"/>
          <w:lang w:val="uk-UA" w:eastAsia="ru-RU"/>
        </w:rPr>
      </w:pPr>
      <w:r w:rsidRPr="00CC4C9A">
        <w:rPr>
          <w:rFonts w:ascii="Times New Roman" w:eastAsia="Times New Roman" w:hAnsi="Times New Roman" w:cs="Times New Roman"/>
          <w:sz w:val="24"/>
          <w:szCs w:val="24"/>
          <w:lang w:val="uk-UA" w:eastAsia="ru-RU"/>
        </w:rPr>
        <w:t>- отримувачі послуг, що постачаються нерезидентами, місце постачання яких розташоване на митній території України, у разі нарахування таким отримувачем послуг ПДВ у складі податкових зобов’язань, визначених у податковій декларації за відповідний звітний (податковий) період, мають право на віднесення таких сум податку до податкового кредиту відповідного звітного (податкового) періоду на підставі наявних у платника первинних (розрахункових) документів, складених (отриманих) платником податку за операціями з придбання послуг, відповідно до Закону № 966.</w:t>
      </w:r>
    </w:p>
    <w:p w:rsidR="00CC4C9A" w:rsidRPr="00CC4C9A" w:rsidRDefault="00CC4C9A" w:rsidP="00CC4C9A">
      <w:pPr>
        <w:spacing w:after="0"/>
        <w:ind w:firstLine="709"/>
        <w:jc w:val="both"/>
        <w:rPr>
          <w:rFonts w:ascii="Times New Roman" w:eastAsia="Times New Roman" w:hAnsi="Times New Roman" w:cs="Times New Roman"/>
          <w:sz w:val="24"/>
          <w:szCs w:val="24"/>
          <w:lang w:val="uk-UA" w:eastAsia="ru-RU"/>
        </w:rPr>
      </w:pPr>
      <w:r w:rsidRPr="00CC4C9A">
        <w:rPr>
          <w:rFonts w:ascii="Times New Roman" w:eastAsia="Times New Roman" w:hAnsi="Times New Roman" w:cs="Times New Roman"/>
          <w:sz w:val="24"/>
          <w:szCs w:val="24"/>
          <w:lang w:val="uk-UA" w:eastAsia="ru-RU"/>
        </w:rPr>
        <w:t xml:space="preserve">Згідно з </w:t>
      </w:r>
      <w:proofErr w:type="spellStart"/>
      <w:r w:rsidRPr="00CC4C9A">
        <w:rPr>
          <w:rFonts w:ascii="Times New Roman" w:eastAsia="Times New Roman" w:hAnsi="Times New Roman" w:cs="Times New Roman"/>
          <w:sz w:val="24"/>
          <w:szCs w:val="24"/>
          <w:lang w:val="uk-UA" w:eastAsia="ru-RU"/>
        </w:rPr>
        <w:t>п.п</w:t>
      </w:r>
      <w:proofErr w:type="spellEnd"/>
      <w:r w:rsidRPr="00CC4C9A">
        <w:rPr>
          <w:rFonts w:ascii="Times New Roman" w:eastAsia="Times New Roman" w:hAnsi="Times New Roman" w:cs="Times New Roman"/>
          <w:sz w:val="24"/>
          <w:szCs w:val="24"/>
          <w:lang w:val="uk-UA" w:eastAsia="ru-RU"/>
        </w:rPr>
        <w:t xml:space="preserve">. 69.1 п. 69 </w:t>
      </w:r>
      <w:proofErr w:type="spellStart"/>
      <w:r w:rsidRPr="00CC4C9A">
        <w:rPr>
          <w:rFonts w:ascii="Times New Roman" w:eastAsia="Times New Roman" w:hAnsi="Times New Roman" w:cs="Times New Roman"/>
          <w:sz w:val="24"/>
          <w:szCs w:val="24"/>
          <w:lang w:val="uk-UA" w:eastAsia="ru-RU"/>
        </w:rPr>
        <w:t>підрозд</w:t>
      </w:r>
      <w:proofErr w:type="spellEnd"/>
      <w:r w:rsidRPr="00CC4C9A">
        <w:rPr>
          <w:rFonts w:ascii="Times New Roman" w:eastAsia="Times New Roman" w:hAnsi="Times New Roman" w:cs="Times New Roman"/>
          <w:sz w:val="24"/>
          <w:szCs w:val="24"/>
          <w:lang w:val="uk-UA" w:eastAsia="ru-RU"/>
        </w:rPr>
        <w:t xml:space="preserve">. 10 </w:t>
      </w:r>
      <w:proofErr w:type="spellStart"/>
      <w:r w:rsidRPr="00CC4C9A">
        <w:rPr>
          <w:rFonts w:ascii="Times New Roman" w:eastAsia="Times New Roman" w:hAnsi="Times New Roman" w:cs="Times New Roman"/>
          <w:sz w:val="24"/>
          <w:szCs w:val="24"/>
          <w:lang w:val="uk-UA" w:eastAsia="ru-RU"/>
        </w:rPr>
        <w:t>розд</w:t>
      </w:r>
      <w:proofErr w:type="spellEnd"/>
      <w:r w:rsidRPr="00CC4C9A">
        <w:rPr>
          <w:rFonts w:ascii="Times New Roman" w:eastAsia="Times New Roman" w:hAnsi="Times New Roman" w:cs="Times New Roman"/>
          <w:sz w:val="24"/>
          <w:szCs w:val="24"/>
          <w:lang w:val="uk-UA" w:eastAsia="ru-RU"/>
        </w:rPr>
        <w:t>. XX «Перехідні положення» ПК платники податків, які мають можливість своєчасно виконувати податкові обов’язки щодо дотримання термінів, зокрема, реєстрації у відповідних реєстрах податкових накладних, розрахунків коригування, звільняються від відповідальності за несвоєчасне виконання таких обов’язків, граничний термін виконання яких припадає на період з 24 лютого 2022 року до дня набрання чинності Законом України від 12 травня 2022 року № 2260-IX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(27 травня 2022 року) за умови реєстрації такими платниками податкових накладних та розрахунків коригування в ЄРПН до 15 липня 2022 року.</w:t>
      </w:r>
    </w:p>
    <w:p w:rsidR="00CC4C9A" w:rsidRPr="00CC4C9A" w:rsidRDefault="00CC4C9A" w:rsidP="00CC4C9A">
      <w:pPr>
        <w:spacing w:after="0"/>
        <w:ind w:firstLine="709"/>
        <w:jc w:val="both"/>
        <w:rPr>
          <w:rFonts w:ascii="Times New Roman" w:eastAsia="Times New Roman" w:hAnsi="Times New Roman" w:cs="Times New Roman"/>
          <w:sz w:val="24"/>
          <w:szCs w:val="24"/>
          <w:lang w:val="uk-UA" w:eastAsia="ru-RU"/>
        </w:rPr>
      </w:pPr>
      <w:r w:rsidRPr="00CC4C9A">
        <w:rPr>
          <w:rFonts w:ascii="Times New Roman" w:eastAsia="Times New Roman" w:hAnsi="Times New Roman" w:cs="Times New Roman"/>
          <w:sz w:val="24"/>
          <w:szCs w:val="24"/>
          <w:lang w:val="uk-UA" w:eastAsia="ru-RU"/>
        </w:rPr>
        <w:t xml:space="preserve">Підпунктом 69.1 прим.1 п. 69 </w:t>
      </w:r>
      <w:proofErr w:type="spellStart"/>
      <w:r w:rsidRPr="00CC4C9A">
        <w:rPr>
          <w:rFonts w:ascii="Times New Roman" w:eastAsia="Times New Roman" w:hAnsi="Times New Roman" w:cs="Times New Roman"/>
          <w:sz w:val="24"/>
          <w:szCs w:val="24"/>
          <w:lang w:val="uk-UA" w:eastAsia="ru-RU"/>
        </w:rPr>
        <w:t>підрозд</w:t>
      </w:r>
      <w:proofErr w:type="spellEnd"/>
      <w:r w:rsidRPr="00CC4C9A">
        <w:rPr>
          <w:rFonts w:ascii="Times New Roman" w:eastAsia="Times New Roman" w:hAnsi="Times New Roman" w:cs="Times New Roman"/>
          <w:sz w:val="24"/>
          <w:szCs w:val="24"/>
          <w:lang w:val="uk-UA" w:eastAsia="ru-RU"/>
        </w:rPr>
        <w:t xml:space="preserve">. 10 </w:t>
      </w:r>
      <w:proofErr w:type="spellStart"/>
      <w:r w:rsidRPr="00CC4C9A">
        <w:rPr>
          <w:rFonts w:ascii="Times New Roman" w:eastAsia="Times New Roman" w:hAnsi="Times New Roman" w:cs="Times New Roman"/>
          <w:sz w:val="24"/>
          <w:szCs w:val="24"/>
          <w:lang w:val="uk-UA" w:eastAsia="ru-RU"/>
        </w:rPr>
        <w:t>розд</w:t>
      </w:r>
      <w:proofErr w:type="spellEnd"/>
      <w:r w:rsidRPr="00CC4C9A">
        <w:rPr>
          <w:rFonts w:ascii="Times New Roman" w:eastAsia="Times New Roman" w:hAnsi="Times New Roman" w:cs="Times New Roman"/>
          <w:sz w:val="24"/>
          <w:szCs w:val="24"/>
          <w:lang w:val="uk-UA" w:eastAsia="ru-RU"/>
        </w:rPr>
        <w:t xml:space="preserve">. XX «Перехідні положення» ПК передбачено, що платники ПДВ зобов’язані забезпечити у строки, встановлені </w:t>
      </w:r>
      <w:proofErr w:type="spellStart"/>
      <w:r w:rsidRPr="00CC4C9A">
        <w:rPr>
          <w:rFonts w:ascii="Times New Roman" w:eastAsia="Times New Roman" w:hAnsi="Times New Roman" w:cs="Times New Roman"/>
          <w:sz w:val="24"/>
          <w:szCs w:val="24"/>
          <w:lang w:val="uk-UA" w:eastAsia="ru-RU"/>
        </w:rPr>
        <w:t>п.п</w:t>
      </w:r>
      <w:proofErr w:type="spellEnd"/>
      <w:r w:rsidRPr="00CC4C9A">
        <w:rPr>
          <w:rFonts w:ascii="Times New Roman" w:eastAsia="Times New Roman" w:hAnsi="Times New Roman" w:cs="Times New Roman"/>
          <w:sz w:val="24"/>
          <w:szCs w:val="24"/>
          <w:lang w:val="uk-UA" w:eastAsia="ru-RU"/>
        </w:rPr>
        <w:t xml:space="preserve">. 69.1 п. </w:t>
      </w:r>
      <w:r w:rsidRPr="00CC4C9A">
        <w:rPr>
          <w:rFonts w:ascii="Times New Roman" w:eastAsia="Times New Roman" w:hAnsi="Times New Roman" w:cs="Times New Roman"/>
          <w:sz w:val="24"/>
          <w:szCs w:val="24"/>
          <w:lang w:val="uk-UA" w:eastAsia="ru-RU"/>
        </w:rPr>
        <w:lastRenderedPageBreak/>
        <w:t xml:space="preserve">69 </w:t>
      </w:r>
      <w:proofErr w:type="spellStart"/>
      <w:r w:rsidRPr="00CC4C9A">
        <w:rPr>
          <w:rFonts w:ascii="Times New Roman" w:eastAsia="Times New Roman" w:hAnsi="Times New Roman" w:cs="Times New Roman"/>
          <w:sz w:val="24"/>
          <w:szCs w:val="24"/>
          <w:lang w:val="uk-UA" w:eastAsia="ru-RU"/>
        </w:rPr>
        <w:t>підрозд</w:t>
      </w:r>
      <w:proofErr w:type="spellEnd"/>
      <w:r w:rsidRPr="00CC4C9A">
        <w:rPr>
          <w:rFonts w:ascii="Times New Roman" w:eastAsia="Times New Roman" w:hAnsi="Times New Roman" w:cs="Times New Roman"/>
          <w:sz w:val="24"/>
          <w:szCs w:val="24"/>
          <w:lang w:val="uk-UA" w:eastAsia="ru-RU"/>
        </w:rPr>
        <w:t xml:space="preserve">. 10 </w:t>
      </w:r>
      <w:proofErr w:type="spellStart"/>
      <w:r w:rsidRPr="00CC4C9A">
        <w:rPr>
          <w:rFonts w:ascii="Times New Roman" w:eastAsia="Times New Roman" w:hAnsi="Times New Roman" w:cs="Times New Roman"/>
          <w:sz w:val="24"/>
          <w:szCs w:val="24"/>
          <w:lang w:val="uk-UA" w:eastAsia="ru-RU"/>
        </w:rPr>
        <w:t>розд</w:t>
      </w:r>
      <w:proofErr w:type="spellEnd"/>
      <w:r w:rsidRPr="00CC4C9A">
        <w:rPr>
          <w:rFonts w:ascii="Times New Roman" w:eastAsia="Times New Roman" w:hAnsi="Times New Roman" w:cs="Times New Roman"/>
          <w:sz w:val="24"/>
          <w:szCs w:val="24"/>
          <w:lang w:val="uk-UA" w:eastAsia="ru-RU"/>
        </w:rPr>
        <w:t xml:space="preserve">. XX «Перехідні положення» ПК, реєстрацію податкових накладних та розрахунків коригування в ЄРПН, граничний термін реєстрації яких припадає на періоди, зазначені у </w:t>
      </w:r>
      <w:proofErr w:type="spellStart"/>
      <w:r w:rsidRPr="00CC4C9A">
        <w:rPr>
          <w:rFonts w:ascii="Times New Roman" w:eastAsia="Times New Roman" w:hAnsi="Times New Roman" w:cs="Times New Roman"/>
          <w:sz w:val="24"/>
          <w:szCs w:val="24"/>
          <w:lang w:val="uk-UA" w:eastAsia="ru-RU"/>
        </w:rPr>
        <w:t>п.п</w:t>
      </w:r>
      <w:proofErr w:type="spellEnd"/>
      <w:r w:rsidRPr="00CC4C9A">
        <w:rPr>
          <w:rFonts w:ascii="Times New Roman" w:eastAsia="Times New Roman" w:hAnsi="Times New Roman" w:cs="Times New Roman"/>
          <w:sz w:val="24"/>
          <w:szCs w:val="24"/>
          <w:lang w:val="uk-UA" w:eastAsia="ru-RU"/>
        </w:rPr>
        <w:t xml:space="preserve">. 69.1 п. 69 </w:t>
      </w:r>
      <w:proofErr w:type="spellStart"/>
      <w:r w:rsidRPr="00CC4C9A">
        <w:rPr>
          <w:rFonts w:ascii="Times New Roman" w:eastAsia="Times New Roman" w:hAnsi="Times New Roman" w:cs="Times New Roman"/>
          <w:sz w:val="24"/>
          <w:szCs w:val="24"/>
          <w:lang w:val="uk-UA" w:eastAsia="ru-RU"/>
        </w:rPr>
        <w:t>підрозд</w:t>
      </w:r>
      <w:proofErr w:type="spellEnd"/>
      <w:r w:rsidRPr="00CC4C9A">
        <w:rPr>
          <w:rFonts w:ascii="Times New Roman" w:eastAsia="Times New Roman" w:hAnsi="Times New Roman" w:cs="Times New Roman"/>
          <w:sz w:val="24"/>
          <w:szCs w:val="24"/>
          <w:lang w:val="uk-UA" w:eastAsia="ru-RU"/>
        </w:rPr>
        <w:t xml:space="preserve">. 10 </w:t>
      </w:r>
      <w:proofErr w:type="spellStart"/>
      <w:r w:rsidRPr="00CC4C9A">
        <w:rPr>
          <w:rFonts w:ascii="Times New Roman" w:eastAsia="Times New Roman" w:hAnsi="Times New Roman" w:cs="Times New Roman"/>
          <w:sz w:val="24"/>
          <w:szCs w:val="24"/>
          <w:lang w:val="uk-UA" w:eastAsia="ru-RU"/>
        </w:rPr>
        <w:t>розд</w:t>
      </w:r>
      <w:proofErr w:type="spellEnd"/>
      <w:r w:rsidRPr="00CC4C9A">
        <w:rPr>
          <w:rFonts w:ascii="Times New Roman" w:eastAsia="Times New Roman" w:hAnsi="Times New Roman" w:cs="Times New Roman"/>
          <w:sz w:val="24"/>
          <w:szCs w:val="24"/>
          <w:lang w:val="uk-UA" w:eastAsia="ru-RU"/>
        </w:rPr>
        <w:t>. XX «Перехідні положення» ПК, та уточнити (привести у відповідність) податковий кредит, задекларований платниками на підставі наявних у платника первинних (розрахункових) документів, з урахуванням даних податкових накладних та/або розрахунків коригування, зареєстрованих в ЄРПН.</w:t>
      </w:r>
    </w:p>
    <w:p w:rsidR="00CC4C9A" w:rsidRPr="00CC4C9A" w:rsidRDefault="00CC4C9A" w:rsidP="00CC4C9A">
      <w:pPr>
        <w:spacing w:after="0"/>
        <w:ind w:firstLine="709"/>
        <w:jc w:val="both"/>
        <w:rPr>
          <w:rFonts w:ascii="Times New Roman" w:eastAsia="Times New Roman" w:hAnsi="Times New Roman" w:cs="Times New Roman"/>
          <w:sz w:val="24"/>
          <w:szCs w:val="24"/>
          <w:lang w:val="uk-UA" w:eastAsia="ru-RU"/>
        </w:rPr>
      </w:pPr>
      <w:r w:rsidRPr="00CC4C9A">
        <w:rPr>
          <w:rFonts w:ascii="Times New Roman" w:eastAsia="Times New Roman" w:hAnsi="Times New Roman" w:cs="Times New Roman"/>
          <w:sz w:val="24"/>
          <w:szCs w:val="24"/>
          <w:lang w:val="uk-UA" w:eastAsia="ru-RU"/>
        </w:rPr>
        <w:t xml:space="preserve">Підпунктом 69.9 п. 69 </w:t>
      </w:r>
      <w:proofErr w:type="spellStart"/>
      <w:r w:rsidRPr="00CC4C9A">
        <w:rPr>
          <w:rFonts w:ascii="Times New Roman" w:eastAsia="Times New Roman" w:hAnsi="Times New Roman" w:cs="Times New Roman"/>
          <w:sz w:val="24"/>
          <w:szCs w:val="24"/>
          <w:lang w:val="uk-UA" w:eastAsia="ru-RU"/>
        </w:rPr>
        <w:t>підрозд</w:t>
      </w:r>
      <w:proofErr w:type="spellEnd"/>
      <w:r w:rsidRPr="00CC4C9A">
        <w:rPr>
          <w:rFonts w:ascii="Times New Roman" w:eastAsia="Times New Roman" w:hAnsi="Times New Roman" w:cs="Times New Roman"/>
          <w:sz w:val="24"/>
          <w:szCs w:val="24"/>
          <w:lang w:val="uk-UA" w:eastAsia="ru-RU"/>
        </w:rPr>
        <w:t xml:space="preserve">. 10 </w:t>
      </w:r>
      <w:proofErr w:type="spellStart"/>
      <w:r w:rsidRPr="00CC4C9A">
        <w:rPr>
          <w:rFonts w:ascii="Times New Roman" w:eastAsia="Times New Roman" w:hAnsi="Times New Roman" w:cs="Times New Roman"/>
          <w:sz w:val="24"/>
          <w:szCs w:val="24"/>
          <w:lang w:val="uk-UA" w:eastAsia="ru-RU"/>
        </w:rPr>
        <w:t>розд</w:t>
      </w:r>
      <w:proofErr w:type="spellEnd"/>
      <w:r w:rsidRPr="00CC4C9A">
        <w:rPr>
          <w:rFonts w:ascii="Times New Roman" w:eastAsia="Times New Roman" w:hAnsi="Times New Roman" w:cs="Times New Roman"/>
          <w:sz w:val="24"/>
          <w:szCs w:val="24"/>
          <w:lang w:val="uk-UA" w:eastAsia="ru-RU"/>
        </w:rPr>
        <w:t>. ХХ ПК передбачено, що для платників податків і контролюючих органів зупиняється перебіг строків, визначених податковим законодавством та іншим законодавством, контроль за дотриманням якого покладено на контролюючі органи, крім:</w:t>
      </w:r>
    </w:p>
    <w:p w:rsidR="00CC4C9A" w:rsidRPr="00CC4C9A" w:rsidRDefault="00CC4C9A" w:rsidP="00CC4C9A">
      <w:pPr>
        <w:spacing w:after="0"/>
        <w:ind w:firstLine="709"/>
        <w:jc w:val="both"/>
        <w:rPr>
          <w:rFonts w:ascii="Times New Roman" w:eastAsia="Times New Roman" w:hAnsi="Times New Roman" w:cs="Times New Roman"/>
          <w:sz w:val="24"/>
          <w:szCs w:val="24"/>
          <w:lang w:val="uk-UA" w:eastAsia="ru-RU"/>
        </w:rPr>
      </w:pPr>
      <w:r w:rsidRPr="00CC4C9A">
        <w:rPr>
          <w:rFonts w:ascii="Times New Roman" w:eastAsia="Times New Roman" w:hAnsi="Times New Roman" w:cs="Times New Roman"/>
          <w:sz w:val="24"/>
          <w:szCs w:val="24"/>
          <w:lang w:val="uk-UA" w:eastAsia="ru-RU"/>
        </w:rPr>
        <w:t>- дотримання строків реєстрації податкових накладних, розрахунків коригування до них в ЄРПН, подання звітності, у тому числі звітності, передбаченої п. 46.2 ст. 46 ПК, сплати податків та зборів платниками податків;</w:t>
      </w:r>
    </w:p>
    <w:p w:rsidR="00CC4C9A" w:rsidRPr="00CC4C9A" w:rsidRDefault="00CC4C9A" w:rsidP="00CC4C9A">
      <w:pPr>
        <w:spacing w:after="0"/>
        <w:ind w:firstLine="709"/>
        <w:jc w:val="both"/>
        <w:rPr>
          <w:rFonts w:ascii="Times New Roman" w:eastAsia="Times New Roman" w:hAnsi="Times New Roman" w:cs="Times New Roman"/>
          <w:sz w:val="24"/>
          <w:szCs w:val="24"/>
          <w:lang w:val="uk-UA" w:eastAsia="ru-RU"/>
        </w:rPr>
      </w:pPr>
      <w:r w:rsidRPr="00CC4C9A">
        <w:rPr>
          <w:rFonts w:ascii="Times New Roman" w:eastAsia="Times New Roman" w:hAnsi="Times New Roman" w:cs="Times New Roman"/>
          <w:sz w:val="24"/>
          <w:szCs w:val="24"/>
          <w:lang w:val="uk-UA" w:eastAsia="ru-RU"/>
        </w:rPr>
        <w:t>- строків проведення камеральних перевірок, складення актів, подання та розгляду заперечень, визначення грошових зобов’язань, прийняття, надсилання та оскарження податкового повідомлення-рішення за результатами камеральних перевірок, нарахування пені;</w:t>
      </w:r>
    </w:p>
    <w:p w:rsidR="00CC4C9A" w:rsidRPr="00CC4C9A" w:rsidRDefault="00CC4C9A" w:rsidP="00CC4C9A">
      <w:pPr>
        <w:spacing w:after="0"/>
        <w:ind w:firstLine="709"/>
        <w:jc w:val="both"/>
        <w:rPr>
          <w:rFonts w:ascii="Times New Roman" w:eastAsia="Times New Roman" w:hAnsi="Times New Roman" w:cs="Times New Roman"/>
          <w:sz w:val="24"/>
          <w:szCs w:val="24"/>
          <w:lang w:val="uk-UA" w:eastAsia="ru-RU"/>
        </w:rPr>
      </w:pPr>
      <w:r w:rsidRPr="00CC4C9A">
        <w:rPr>
          <w:rFonts w:ascii="Times New Roman" w:eastAsia="Times New Roman" w:hAnsi="Times New Roman" w:cs="Times New Roman"/>
          <w:sz w:val="24"/>
          <w:szCs w:val="24"/>
          <w:lang w:val="uk-UA" w:eastAsia="ru-RU"/>
        </w:rPr>
        <w:t>- строків проведення фактичних та документальних позапланових перевірок, складення актів, подання та розгляду заперечень, додаткових документів та пояснень, визначення грошових зобов’язань, прийняття, надсилання та оскарження податкового повідомлення-рішення, адміністративного арешту майна за результатами фактичних перевірок.</w:t>
      </w:r>
    </w:p>
    <w:p w:rsidR="00CC4C9A" w:rsidRPr="00CC4C9A" w:rsidRDefault="00CC4C9A" w:rsidP="00CC4C9A">
      <w:pPr>
        <w:spacing w:after="0"/>
        <w:ind w:firstLine="709"/>
        <w:jc w:val="both"/>
        <w:rPr>
          <w:rFonts w:ascii="Times New Roman" w:eastAsia="Times New Roman" w:hAnsi="Times New Roman" w:cs="Times New Roman"/>
          <w:sz w:val="24"/>
          <w:szCs w:val="24"/>
          <w:lang w:val="uk-UA" w:eastAsia="ru-RU"/>
        </w:rPr>
      </w:pPr>
      <w:r w:rsidRPr="00CC4C9A">
        <w:rPr>
          <w:rFonts w:ascii="Times New Roman" w:eastAsia="Times New Roman" w:hAnsi="Times New Roman" w:cs="Times New Roman"/>
          <w:sz w:val="24"/>
          <w:szCs w:val="24"/>
          <w:lang w:val="uk-UA" w:eastAsia="ru-RU"/>
        </w:rPr>
        <w:t>Крім того, відповідно до вимог п. 198.6 ст. 198 ПК в разі якщо платник податку не включив у відповідному звітному періоді до податкового кредиту суму ПДВ на підставі отриманих податкових накладних / розрахунків коригування до таких податкових накладних, зареєстрованих в ЄРПН, таке право зберігається за ним протягом 365 календарних днів з дати складення податкової накладної / розрахунку коригування.</w:t>
      </w:r>
    </w:p>
    <w:p w:rsidR="00CC4C9A" w:rsidRDefault="00CC4C9A" w:rsidP="00CC4C9A">
      <w:pPr>
        <w:spacing w:after="0" w:line="240" w:lineRule="auto"/>
        <w:ind w:firstLine="709"/>
        <w:jc w:val="both"/>
        <w:rPr>
          <w:rFonts w:ascii="Times New Roman" w:eastAsia="Times New Roman" w:hAnsi="Times New Roman" w:cs="Times New Roman"/>
          <w:sz w:val="24"/>
          <w:szCs w:val="24"/>
          <w:lang w:val="uk-UA" w:eastAsia="ru-RU"/>
        </w:rPr>
      </w:pPr>
      <w:r w:rsidRPr="00CC4C9A">
        <w:rPr>
          <w:rFonts w:ascii="Times New Roman" w:eastAsia="Times New Roman" w:hAnsi="Times New Roman" w:cs="Times New Roman"/>
          <w:sz w:val="24"/>
          <w:szCs w:val="24"/>
          <w:lang w:val="uk-UA" w:eastAsia="ru-RU"/>
        </w:rPr>
        <w:t xml:space="preserve">Отже, якщо платником податку не було сформовано податковий кредит на підставі наявних у платника первинних (розрахункових) документів за операціями, які відбулися протягом лютого-травня 2022 року та не були подані декларації за вказані звітні періоди, то сума ПДВ, відображена в податкових накладних, складених за такими операціями та зареєстрованими постачальником в ЄРПН до 15.07.2022 року, може бути включена до складу податкового кредиту вказаних звітних періодів або наступних звітних періодів протягом 365 календарних днів з дати складання таких податкових накладних з урахуванням зупинення термінів, визначених </w:t>
      </w:r>
      <w:proofErr w:type="spellStart"/>
      <w:r w:rsidRPr="00CC4C9A">
        <w:rPr>
          <w:rFonts w:ascii="Times New Roman" w:eastAsia="Times New Roman" w:hAnsi="Times New Roman" w:cs="Times New Roman"/>
          <w:sz w:val="24"/>
          <w:szCs w:val="24"/>
          <w:lang w:val="uk-UA" w:eastAsia="ru-RU"/>
        </w:rPr>
        <w:t>п.п</w:t>
      </w:r>
      <w:proofErr w:type="spellEnd"/>
      <w:r w:rsidRPr="00CC4C9A">
        <w:rPr>
          <w:rFonts w:ascii="Times New Roman" w:eastAsia="Times New Roman" w:hAnsi="Times New Roman" w:cs="Times New Roman"/>
          <w:sz w:val="24"/>
          <w:szCs w:val="24"/>
          <w:lang w:val="uk-UA" w:eastAsia="ru-RU"/>
        </w:rPr>
        <w:t xml:space="preserve">. 69.9 п. 69 </w:t>
      </w:r>
      <w:proofErr w:type="spellStart"/>
      <w:r w:rsidRPr="00CC4C9A">
        <w:rPr>
          <w:rFonts w:ascii="Times New Roman" w:eastAsia="Times New Roman" w:hAnsi="Times New Roman" w:cs="Times New Roman"/>
          <w:sz w:val="24"/>
          <w:szCs w:val="24"/>
          <w:lang w:val="uk-UA" w:eastAsia="ru-RU"/>
        </w:rPr>
        <w:t>підрозд</w:t>
      </w:r>
      <w:proofErr w:type="spellEnd"/>
      <w:r w:rsidRPr="00CC4C9A">
        <w:rPr>
          <w:rFonts w:ascii="Times New Roman" w:eastAsia="Times New Roman" w:hAnsi="Times New Roman" w:cs="Times New Roman"/>
          <w:sz w:val="24"/>
          <w:szCs w:val="24"/>
          <w:lang w:val="uk-UA" w:eastAsia="ru-RU"/>
        </w:rPr>
        <w:t xml:space="preserve">. 10 </w:t>
      </w:r>
      <w:proofErr w:type="spellStart"/>
      <w:r w:rsidRPr="00CC4C9A">
        <w:rPr>
          <w:rFonts w:ascii="Times New Roman" w:eastAsia="Times New Roman" w:hAnsi="Times New Roman" w:cs="Times New Roman"/>
          <w:sz w:val="24"/>
          <w:szCs w:val="24"/>
          <w:lang w:val="uk-UA" w:eastAsia="ru-RU"/>
        </w:rPr>
        <w:t>розд</w:t>
      </w:r>
      <w:proofErr w:type="spellEnd"/>
      <w:r w:rsidRPr="00CC4C9A">
        <w:rPr>
          <w:rFonts w:ascii="Times New Roman" w:eastAsia="Times New Roman" w:hAnsi="Times New Roman" w:cs="Times New Roman"/>
          <w:sz w:val="24"/>
          <w:szCs w:val="24"/>
          <w:lang w:val="uk-UA" w:eastAsia="ru-RU"/>
        </w:rPr>
        <w:t>. ХХ ПК.</w:t>
      </w:r>
    </w:p>
    <w:p w:rsidR="008264E6" w:rsidRDefault="008264E6" w:rsidP="00CC4C9A">
      <w:pPr>
        <w:spacing w:after="0" w:line="240" w:lineRule="auto"/>
        <w:ind w:firstLine="709"/>
        <w:jc w:val="both"/>
        <w:rPr>
          <w:rFonts w:ascii="Times New Roman" w:eastAsia="Times New Roman" w:hAnsi="Times New Roman" w:cs="Times New Roman"/>
          <w:sz w:val="24"/>
          <w:szCs w:val="24"/>
          <w:lang w:val="uk-UA" w:eastAsia="ru-RU"/>
        </w:rPr>
      </w:pPr>
    </w:p>
    <w:p w:rsidR="008264E6" w:rsidRDefault="008264E6" w:rsidP="00CC4C9A">
      <w:pPr>
        <w:spacing w:after="0" w:line="240" w:lineRule="auto"/>
        <w:ind w:firstLine="709"/>
        <w:jc w:val="both"/>
        <w:rPr>
          <w:rFonts w:ascii="Times New Roman" w:eastAsia="Times New Roman" w:hAnsi="Times New Roman" w:cs="Times New Roman"/>
          <w:sz w:val="24"/>
          <w:szCs w:val="24"/>
          <w:lang w:val="uk-UA" w:eastAsia="ru-RU"/>
        </w:rPr>
      </w:pPr>
    </w:p>
    <w:p w:rsidR="008264E6" w:rsidRDefault="008264E6" w:rsidP="00CC4C9A">
      <w:pPr>
        <w:spacing w:after="0" w:line="240" w:lineRule="auto"/>
        <w:ind w:firstLine="709"/>
        <w:jc w:val="both"/>
        <w:rPr>
          <w:rFonts w:ascii="Times New Roman" w:eastAsia="Times New Roman" w:hAnsi="Times New Roman" w:cs="Times New Roman"/>
          <w:sz w:val="24"/>
          <w:szCs w:val="24"/>
          <w:lang w:val="uk-UA" w:eastAsia="ru-RU"/>
        </w:rPr>
      </w:pPr>
    </w:p>
    <w:p w:rsidR="008264E6" w:rsidRDefault="008264E6" w:rsidP="00CC4C9A">
      <w:pPr>
        <w:spacing w:after="0" w:line="240" w:lineRule="auto"/>
        <w:ind w:firstLine="709"/>
        <w:jc w:val="both"/>
        <w:rPr>
          <w:rFonts w:ascii="Times New Roman" w:eastAsia="Times New Roman" w:hAnsi="Times New Roman" w:cs="Times New Roman"/>
          <w:sz w:val="24"/>
          <w:szCs w:val="24"/>
          <w:lang w:val="uk-UA" w:eastAsia="ru-RU"/>
        </w:rPr>
      </w:pPr>
    </w:p>
    <w:p w:rsidR="008264E6" w:rsidRDefault="008264E6" w:rsidP="00CC4C9A">
      <w:pPr>
        <w:spacing w:after="0" w:line="240" w:lineRule="auto"/>
        <w:ind w:firstLine="709"/>
        <w:jc w:val="both"/>
        <w:rPr>
          <w:rFonts w:ascii="Times New Roman" w:eastAsia="Times New Roman" w:hAnsi="Times New Roman" w:cs="Times New Roman"/>
          <w:sz w:val="24"/>
          <w:szCs w:val="24"/>
          <w:lang w:val="uk-UA" w:eastAsia="ru-RU"/>
        </w:rPr>
      </w:pPr>
    </w:p>
    <w:p w:rsidR="008264E6" w:rsidRDefault="008264E6" w:rsidP="00CC4C9A">
      <w:pPr>
        <w:spacing w:after="0" w:line="240" w:lineRule="auto"/>
        <w:ind w:firstLine="709"/>
        <w:jc w:val="both"/>
        <w:rPr>
          <w:rFonts w:ascii="Times New Roman" w:eastAsia="Times New Roman" w:hAnsi="Times New Roman" w:cs="Times New Roman"/>
          <w:sz w:val="24"/>
          <w:szCs w:val="24"/>
          <w:lang w:val="uk-UA" w:eastAsia="ru-RU"/>
        </w:rPr>
      </w:pPr>
    </w:p>
    <w:p w:rsidR="008264E6" w:rsidRDefault="008264E6" w:rsidP="00CC4C9A">
      <w:pPr>
        <w:spacing w:after="0" w:line="240" w:lineRule="auto"/>
        <w:ind w:firstLine="709"/>
        <w:jc w:val="both"/>
        <w:rPr>
          <w:rFonts w:ascii="Times New Roman" w:eastAsia="Times New Roman" w:hAnsi="Times New Roman" w:cs="Times New Roman"/>
          <w:sz w:val="24"/>
          <w:szCs w:val="24"/>
          <w:lang w:val="uk-UA" w:eastAsia="ru-RU"/>
        </w:rPr>
      </w:pPr>
    </w:p>
    <w:p w:rsidR="008264E6" w:rsidRDefault="008264E6" w:rsidP="00CC4C9A">
      <w:pPr>
        <w:spacing w:after="0" w:line="240" w:lineRule="auto"/>
        <w:ind w:firstLine="709"/>
        <w:jc w:val="both"/>
        <w:rPr>
          <w:rFonts w:ascii="Times New Roman" w:eastAsia="Times New Roman" w:hAnsi="Times New Roman" w:cs="Times New Roman"/>
          <w:sz w:val="24"/>
          <w:szCs w:val="24"/>
          <w:lang w:val="uk-UA" w:eastAsia="ru-RU"/>
        </w:rPr>
      </w:pPr>
    </w:p>
    <w:p w:rsidR="008264E6" w:rsidRDefault="008264E6" w:rsidP="00CC4C9A">
      <w:pPr>
        <w:spacing w:after="0" w:line="240" w:lineRule="auto"/>
        <w:ind w:firstLine="709"/>
        <w:jc w:val="both"/>
        <w:rPr>
          <w:rFonts w:ascii="Times New Roman" w:eastAsia="Times New Roman" w:hAnsi="Times New Roman" w:cs="Times New Roman"/>
          <w:sz w:val="24"/>
          <w:szCs w:val="24"/>
          <w:lang w:val="uk-UA" w:eastAsia="ru-RU"/>
        </w:rPr>
      </w:pPr>
      <w:bookmarkStart w:id="1" w:name="_GoBack"/>
      <w:bookmarkEnd w:id="1"/>
    </w:p>
    <w:p w:rsidR="008264E6" w:rsidRPr="008264E6" w:rsidRDefault="008264E6" w:rsidP="008264E6">
      <w:pPr>
        <w:spacing w:after="0" w:line="240" w:lineRule="auto"/>
        <w:jc w:val="both"/>
        <w:rPr>
          <w:rFonts w:ascii="Times New Roman" w:hAnsi="Times New Roman" w:cs="Times New Roman"/>
          <w:sz w:val="20"/>
          <w:szCs w:val="20"/>
          <w:lang w:val="uk-UA"/>
        </w:rPr>
      </w:pPr>
      <w:r w:rsidRPr="008264E6">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8264E6">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8264E6">
        <w:rPr>
          <w:rFonts w:ascii="Times New Roman" w:hAnsi="Times New Roman" w:cs="Times New Roman"/>
          <w:sz w:val="20"/>
          <w:szCs w:val="20"/>
          <w:lang w:val="uk-UA"/>
        </w:rPr>
        <w:t xml:space="preserve">: </w:t>
      </w:r>
      <w:hyperlink r:id="rId6" w:history="1">
        <w:r w:rsidRPr="00EA716F">
          <w:rPr>
            <w:rStyle w:val="a3"/>
            <w:rFonts w:ascii="Times New Roman" w:hAnsi="Times New Roman" w:cs="Times New Roman"/>
            <w:sz w:val="20"/>
            <w:szCs w:val="20"/>
            <w:lang w:val="en-US"/>
          </w:rPr>
          <w:t>ck</w:t>
        </w:r>
        <w:r w:rsidRPr="008264E6">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zmi</w:t>
        </w:r>
        <w:r w:rsidRPr="008264E6">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tax</w:t>
        </w:r>
        <w:r w:rsidRPr="008264E6">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gov</w:t>
        </w:r>
        <w:r w:rsidRPr="008264E6">
          <w:rPr>
            <w:rStyle w:val="a3"/>
            <w:rFonts w:ascii="Times New Roman" w:hAnsi="Times New Roman" w:cs="Times New Roman"/>
            <w:sz w:val="20"/>
            <w:szCs w:val="20"/>
            <w:lang w:val="uk-UA"/>
          </w:rPr>
          <w:t>.</w:t>
        </w:r>
        <w:proofErr w:type="spellStart"/>
        <w:r w:rsidRPr="00EA716F">
          <w:rPr>
            <w:rStyle w:val="a3"/>
            <w:rFonts w:ascii="Times New Roman" w:hAnsi="Times New Roman" w:cs="Times New Roman"/>
            <w:sz w:val="20"/>
            <w:szCs w:val="20"/>
            <w:lang w:val="en-US"/>
          </w:rPr>
          <w:t>ua</w:t>
        </w:r>
        <w:proofErr w:type="spellEnd"/>
      </w:hyperlink>
    </w:p>
    <w:p w:rsidR="008264E6" w:rsidRPr="00EA716F" w:rsidRDefault="008264E6" w:rsidP="008264E6">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p w:rsidR="008264E6" w:rsidRPr="00D65BF4" w:rsidRDefault="008264E6" w:rsidP="008264E6">
      <w:pPr>
        <w:shd w:val="clear" w:color="auto" w:fill="FFFFFF"/>
        <w:spacing w:after="0" w:line="240" w:lineRule="auto"/>
        <w:ind w:firstLine="567"/>
        <w:jc w:val="both"/>
        <w:rPr>
          <w:rFonts w:ascii="Times New Roman" w:eastAsia="Times New Roman" w:hAnsi="Times New Roman" w:cs="Times New Roman"/>
          <w:color w:val="050505"/>
          <w:sz w:val="28"/>
          <w:szCs w:val="28"/>
          <w:lang w:eastAsia="ru-RU"/>
        </w:rPr>
      </w:pPr>
    </w:p>
    <w:p w:rsidR="008264E6" w:rsidRPr="00AC65DE" w:rsidRDefault="008264E6" w:rsidP="008264E6">
      <w:pPr>
        <w:spacing w:after="0" w:line="240" w:lineRule="auto"/>
        <w:ind w:firstLine="709"/>
        <w:jc w:val="both"/>
        <w:rPr>
          <w:rFonts w:ascii="Times New Roman" w:eastAsia="Times New Roman" w:hAnsi="Times New Roman" w:cs="Times New Roman"/>
          <w:sz w:val="24"/>
          <w:szCs w:val="24"/>
          <w:lang w:eastAsia="ru-RU"/>
        </w:rPr>
      </w:pPr>
    </w:p>
    <w:sectPr w:rsidR="008264E6" w:rsidRPr="00AC65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41E"/>
    <w:rsid w:val="00016A09"/>
    <w:rsid w:val="0062341E"/>
    <w:rsid w:val="008264E6"/>
    <w:rsid w:val="00AC65DE"/>
    <w:rsid w:val="00B2085F"/>
    <w:rsid w:val="00CC4C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C4C9A"/>
    <w:rPr>
      <w:color w:val="0000FF"/>
      <w:u w:val="single"/>
    </w:rPr>
  </w:style>
  <w:style w:type="paragraph" w:styleId="a4">
    <w:name w:val="Balloon Text"/>
    <w:basedOn w:val="a"/>
    <w:link w:val="a5"/>
    <w:uiPriority w:val="99"/>
    <w:semiHidden/>
    <w:unhideWhenUsed/>
    <w:rsid w:val="008264E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264E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C4C9A"/>
    <w:rPr>
      <w:color w:val="0000FF"/>
      <w:u w:val="single"/>
    </w:rPr>
  </w:style>
  <w:style w:type="paragraph" w:styleId="a4">
    <w:name w:val="Balloon Text"/>
    <w:basedOn w:val="a"/>
    <w:link w:val="a5"/>
    <w:uiPriority w:val="99"/>
    <w:semiHidden/>
    <w:unhideWhenUsed/>
    <w:rsid w:val="008264E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264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75745">
      <w:bodyDiv w:val="1"/>
      <w:marLeft w:val="0"/>
      <w:marRight w:val="0"/>
      <w:marTop w:val="0"/>
      <w:marBottom w:val="0"/>
      <w:divBdr>
        <w:top w:val="none" w:sz="0" w:space="0" w:color="auto"/>
        <w:left w:val="none" w:sz="0" w:space="0" w:color="auto"/>
        <w:bottom w:val="none" w:sz="0" w:space="0" w:color="auto"/>
        <w:right w:val="none" w:sz="0" w:space="0" w:color="auto"/>
      </w:divBdr>
      <w:divsChild>
        <w:div w:id="2098405445">
          <w:marLeft w:val="0"/>
          <w:marRight w:val="0"/>
          <w:marTop w:val="0"/>
          <w:marBottom w:val="0"/>
          <w:divBdr>
            <w:top w:val="none" w:sz="0" w:space="0" w:color="auto"/>
            <w:left w:val="none" w:sz="0" w:space="0" w:color="auto"/>
            <w:bottom w:val="none" w:sz="0" w:space="0" w:color="auto"/>
            <w:right w:val="none" w:sz="0" w:space="0" w:color="auto"/>
          </w:divBdr>
        </w:div>
      </w:divsChild>
    </w:div>
    <w:div w:id="46994074">
      <w:bodyDiv w:val="1"/>
      <w:marLeft w:val="0"/>
      <w:marRight w:val="0"/>
      <w:marTop w:val="0"/>
      <w:marBottom w:val="0"/>
      <w:divBdr>
        <w:top w:val="none" w:sz="0" w:space="0" w:color="auto"/>
        <w:left w:val="none" w:sz="0" w:space="0" w:color="auto"/>
        <w:bottom w:val="none" w:sz="0" w:space="0" w:color="auto"/>
        <w:right w:val="none" w:sz="0" w:space="0" w:color="auto"/>
      </w:divBdr>
      <w:divsChild>
        <w:div w:id="593630303">
          <w:marLeft w:val="0"/>
          <w:marRight w:val="0"/>
          <w:marTop w:val="0"/>
          <w:marBottom w:val="0"/>
          <w:divBdr>
            <w:top w:val="none" w:sz="0" w:space="0" w:color="auto"/>
            <w:left w:val="none" w:sz="0" w:space="0" w:color="auto"/>
            <w:bottom w:val="none" w:sz="0" w:space="0" w:color="auto"/>
            <w:right w:val="none" w:sz="0" w:space="0" w:color="auto"/>
          </w:divBdr>
        </w:div>
      </w:divsChild>
    </w:div>
    <w:div w:id="255601894">
      <w:bodyDiv w:val="1"/>
      <w:marLeft w:val="0"/>
      <w:marRight w:val="0"/>
      <w:marTop w:val="0"/>
      <w:marBottom w:val="0"/>
      <w:divBdr>
        <w:top w:val="none" w:sz="0" w:space="0" w:color="auto"/>
        <w:left w:val="none" w:sz="0" w:space="0" w:color="auto"/>
        <w:bottom w:val="none" w:sz="0" w:space="0" w:color="auto"/>
        <w:right w:val="none" w:sz="0" w:space="0" w:color="auto"/>
      </w:divBdr>
      <w:divsChild>
        <w:div w:id="894701900">
          <w:marLeft w:val="0"/>
          <w:marRight w:val="0"/>
          <w:marTop w:val="0"/>
          <w:marBottom w:val="0"/>
          <w:divBdr>
            <w:top w:val="none" w:sz="0" w:space="0" w:color="auto"/>
            <w:left w:val="none" w:sz="0" w:space="0" w:color="auto"/>
            <w:bottom w:val="none" w:sz="0" w:space="0" w:color="auto"/>
            <w:right w:val="none" w:sz="0" w:space="0" w:color="auto"/>
          </w:divBdr>
        </w:div>
      </w:divsChild>
    </w:div>
    <w:div w:id="308289472">
      <w:bodyDiv w:val="1"/>
      <w:marLeft w:val="0"/>
      <w:marRight w:val="0"/>
      <w:marTop w:val="0"/>
      <w:marBottom w:val="0"/>
      <w:divBdr>
        <w:top w:val="none" w:sz="0" w:space="0" w:color="auto"/>
        <w:left w:val="none" w:sz="0" w:space="0" w:color="auto"/>
        <w:bottom w:val="none" w:sz="0" w:space="0" w:color="auto"/>
        <w:right w:val="none" w:sz="0" w:space="0" w:color="auto"/>
      </w:divBdr>
      <w:divsChild>
        <w:div w:id="966929305">
          <w:marLeft w:val="0"/>
          <w:marRight w:val="0"/>
          <w:marTop w:val="0"/>
          <w:marBottom w:val="0"/>
          <w:divBdr>
            <w:top w:val="none" w:sz="0" w:space="0" w:color="auto"/>
            <w:left w:val="none" w:sz="0" w:space="0" w:color="auto"/>
            <w:bottom w:val="none" w:sz="0" w:space="0" w:color="auto"/>
            <w:right w:val="none" w:sz="0" w:space="0" w:color="auto"/>
          </w:divBdr>
        </w:div>
      </w:divsChild>
    </w:div>
    <w:div w:id="505096591">
      <w:bodyDiv w:val="1"/>
      <w:marLeft w:val="0"/>
      <w:marRight w:val="0"/>
      <w:marTop w:val="0"/>
      <w:marBottom w:val="0"/>
      <w:divBdr>
        <w:top w:val="none" w:sz="0" w:space="0" w:color="auto"/>
        <w:left w:val="none" w:sz="0" w:space="0" w:color="auto"/>
        <w:bottom w:val="none" w:sz="0" w:space="0" w:color="auto"/>
        <w:right w:val="none" w:sz="0" w:space="0" w:color="auto"/>
      </w:divBdr>
      <w:divsChild>
        <w:div w:id="390542130">
          <w:marLeft w:val="0"/>
          <w:marRight w:val="0"/>
          <w:marTop w:val="0"/>
          <w:marBottom w:val="0"/>
          <w:divBdr>
            <w:top w:val="none" w:sz="0" w:space="0" w:color="auto"/>
            <w:left w:val="none" w:sz="0" w:space="0" w:color="auto"/>
            <w:bottom w:val="none" w:sz="0" w:space="0" w:color="auto"/>
            <w:right w:val="none" w:sz="0" w:space="0" w:color="auto"/>
          </w:divBdr>
        </w:div>
      </w:divsChild>
    </w:div>
    <w:div w:id="704863649">
      <w:bodyDiv w:val="1"/>
      <w:marLeft w:val="0"/>
      <w:marRight w:val="0"/>
      <w:marTop w:val="0"/>
      <w:marBottom w:val="0"/>
      <w:divBdr>
        <w:top w:val="none" w:sz="0" w:space="0" w:color="auto"/>
        <w:left w:val="none" w:sz="0" w:space="0" w:color="auto"/>
        <w:bottom w:val="none" w:sz="0" w:space="0" w:color="auto"/>
        <w:right w:val="none" w:sz="0" w:space="0" w:color="auto"/>
      </w:divBdr>
      <w:divsChild>
        <w:div w:id="1146629384">
          <w:marLeft w:val="0"/>
          <w:marRight w:val="0"/>
          <w:marTop w:val="0"/>
          <w:marBottom w:val="0"/>
          <w:divBdr>
            <w:top w:val="none" w:sz="0" w:space="0" w:color="auto"/>
            <w:left w:val="none" w:sz="0" w:space="0" w:color="auto"/>
            <w:bottom w:val="none" w:sz="0" w:space="0" w:color="auto"/>
            <w:right w:val="none" w:sz="0" w:space="0" w:color="auto"/>
          </w:divBdr>
        </w:div>
      </w:divsChild>
    </w:div>
    <w:div w:id="830608403">
      <w:bodyDiv w:val="1"/>
      <w:marLeft w:val="0"/>
      <w:marRight w:val="0"/>
      <w:marTop w:val="0"/>
      <w:marBottom w:val="0"/>
      <w:divBdr>
        <w:top w:val="none" w:sz="0" w:space="0" w:color="auto"/>
        <w:left w:val="none" w:sz="0" w:space="0" w:color="auto"/>
        <w:bottom w:val="none" w:sz="0" w:space="0" w:color="auto"/>
        <w:right w:val="none" w:sz="0" w:space="0" w:color="auto"/>
      </w:divBdr>
      <w:divsChild>
        <w:div w:id="1453404221">
          <w:marLeft w:val="0"/>
          <w:marRight w:val="0"/>
          <w:marTop w:val="0"/>
          <w:marBottom w:val="0"/>
          <w:divBdr>
            <w:top w:val="none" w:sz="0" w:space="0" w:color="auto"/>
            <w:left w:val="none" w:sz="0" w:space="0" w:color="auto"/>
            <w:bottom w:val="none" w:sz="0" w:space="0" w:color="auto"/>
            <w:right w:val="none" w:sz="0" w:space="0" w:color="auto"/>
          </w:divBdr>
        </w:div>
      </w:divsChild>
    </w:div>
    <w:div w:id="1064059628">
      <w:bodyDiv w:val="1"/>
      <w:marLeft w:val="0"/>
      <w:marRight w:val="0"/>
      <w:marTop w:val="0"/>
      <w:marBottom w:val="0"/>
      <w:divBdr>
        <w:top w:val="none" w:sz="0" w:space="0" w:color="auto"/>
        <w:left w:val="none" w:sz="0" w:space="0" w:color="auto"/>
        <w:bottom w:val="none" w:sz="0" w:space="0" w:color="auto"/>
        <w:right w:val="none" w:sz="0" w:space="0" w:color="auto"/>
      </w:divBdr>
      <w:divsChild>
        <w:div w:id="1194000522">
          <w:marLeft w:val="0"/>
          <w:marRight w:val="0"/>
          <w:marTop w:val="0"/>
          <w:marBottom w:val="0"/>
          <w:divBdr>
            <w:top w:val="none" w:sz="0" w:space="0" w:color="auto"/>
            <w:left w:val="none" w:sz="0" w:space="0" w:color="auto"/>
            <w:bottom w:val="none" w:sz="0" w:space="0" w:color="auto"/>
            <w:right w:val="none" w:sz="0" w:space="0" w:color="auto"/>
          </w:divBdr>
        </w:div>
      </w:divsChild>
    </w:div>
    <w:div w:id="1172336999">
      <w:bodyDiv w:val="1"/>
      <w:marLeft w:val="0"/>
      <w:marRight w:val="0"/>
      <w:marTop w:val="0"/>
      <w:marBottom w:val="0"/>
      <w:divBdr>
        <w:top w:val="none" w:sz="0" w:space="0" w:color="auto"/>
        <w:left w:val="none" w:sz="0" w:space="0" w:color="auto"/>
        <w:bottom w:val="none" w:sz="0" w:space="0" w:color="auto"/>
        <w:right w:val="none" w:sz="0" w:space="0" w:color="auto"/>
      </w:divBdr>
      <w:divsChild>
        <w:div w:id="245695620">
          <w:marLeft w:val="0"/>
          <w:marRight w:val="0"/>
          <w:marTop w:val="0"/>
          <w:marBottom w:val="0"/>
          <w:divBdr>
            <w:top w:val="none" w:sz="0" w:space="0" w:color="auto"/>
            <w:left w:val="none" w:sz="0" w:space="0" w:color="auto"/>
            <w:bottom w:val="none" w:sz="0" w:space="0" w:color="auto"/>
            <w:right w:val="none" w:sz="0" w:space="0" w:color="auto"/>
          </w:divBdr>
        </w:div>
      </w:divsChild>
    </w:div>
    <w:div w:id="1558324521">
      <w:bodyDiv w:val="1"/>
      <w:marLeft w:val="0"/>
      <w:marRight w:val="0"/>
      <w:marTop w:val="0"/>
      <w:marBottom w:val="0"/>
      <w:divBdr>
        <w:top w:val="none" w:sz="0" w:space="0" w:color="auto"/>
        <w:left w:val="none" w:sz="0" w:space="0" w:color="auto"/>
        <w:bottom w:val="none" w:sz="0" w:space="0" w:color="auto"/>
        <w:right w:val="none" w:sz="0" w:space="0" w:color="auto"/>
      </w:divBdr>
      <w:divsChild>
        <w:div w:id="1137726893">
          <w:marLeft w:val="0"/>
          <w:marRight w:val="0"/>
          <w:marTop w:val="0"/>
          <w:marBottom w:val="0"/>
          <w:divBdr>
            <w:top w:val="none" w:sz="0" w:space="0" w:color="auto"/>
            <w:left w:val="none" w:sz="0" w:space="0" w:color="auto"/>
            <w:bottom w:val="none" w:sz="0" w:space="0" w:color="auto"/>
            <w:right w:val="none" w:sz="0" w:space="0" w:color="auto"/>
          </w:divBdr>
        </w:div>
      </w:divsChild>
    </w:div>
    <w:div w:id="1744721255">
      <w:bodyDiv w:val="1"/>
      <w:marLeft w:val="0"/>
      <w:marRight w:val="0"/>
      <w:marTop w:val="0"/>
      <w:marBottom w:val="0"/>
      <w:divBdr>
        <w:top w:val="none" w:sz="0" w:space="0" w:color="auto"/>
        <w:left w:val="none" w:sz="0" w:space="0" w:color="auto"/>
        <w:bottom w:val="none" w:sz="0" w:space="0" w:color="auto"/>
        <w:right w:val="none" w:sz="0" w:space="0" w:color="auto"/>
      </w:divBdr>
      <w:divsChild>
        <w:div w:id="584458515">
          <w:marLeft w:val="0"/>
          <w:marRight w:val="0"/>
          <w:marTop w:val="0"/>
          <w:marBottom w:val="0"/>
          <w:divBdr>
            <w:top w:val="none" w:sz="0" w:space="0" w:color="auto"/>
            <w:left w:val="none" w:sz="0" w:space="0" w:color="auto"/>
            <w:bottom w:val="none" w:sz="0" w:space="0" w:color="auto"/>
            <w:right w:val="none" w:sz="0" w:space="0" w:color="auto"/>
          </w:divBdr>
        </w:div>
      </w:divsChild>
    </w:div>
    <w:div w:id="1850674165">
      <w:bodyDiv w:val="1"/>
      <w:marLeft w:val="0"/>
      <w:marRight w:val="0"/>
      <w:marTop w:val="0"/>
      <w:marBottom w:val="0"/>
      <w:divBdr>
        <w:top w:val="none" w:sz="0" w:space="0" w:color="auto"/>
        <w:left w:val="none" w:sz="0" w:space="0" w:color="auto"/>
        <w:bottom w:val="none" w:sz="0" w:space="0" w:color="auto"/>
        <w:right w:val="none" w:sz="0" w:space="0" w:color="auto"/>
      </w:divBdr>
      <w:divsChild>
        <w:div w:id="1640576887">
          <w:marLeft w:val="0"/>
          <w:marRight w:val="0"/>
          <w:marTop w:val="0"/>
          <w:marBottom w:val="0"/>
          <w:divBdr>
            <w:top w:val="none" w:sz="0" w:space="0" w:color="auto"/>
            <w:left w:val="none" w:sz="0" w:space="0" w:color="auto"/>
            <w:bottom w:val="none" w:sz="0" w:space="0" w:color="auto"/>
            <w:right w:val="none" w:sz="0" w:space="0" w:color="auto"/>
          </w:divBdr>
        </w:div>
      </w:divsChild>
    </w:div>
    <w:div w:id="1993633287">
      <w:bodyDiv w:val="1"/>
      <w:marLeft w:val="0"/>
      <w:marRight w:val="0"/>
      <w:marTop w:val="0"/>
      <w:marBottom w:val="0"/>
      <w:divBdr>
        <w:top w:val="none" w:sz="0" w:space="0" w:color="auto"/>
        <w:left w:val="none" w:sz="0" w:space="0" w:color="auto"/>
        <w:bottom w:val="none" w:sz="0" w:space="0" w:color="auto"/>
        <w:right w:val="none" w:sz="0" w:space="0" w:color="auto"/>
      </w:divBdr>
      <w:divsChild>
        <w:div w:id="1241671093">
          <w:marLeft w:val="0"/>
          <w:marRight w:val="0"/>
          <w:marTop w:val="0"/>
          <w:marBottom w:val="0"/>
          <w:divBdr>
            <w:top w:val="none" w:sz="0" w:space="0" w:color="auto"/>
            <w:left w:val="none" w:sz="0" w:space="0" w:color="auto"/>
            <w:bottom w:val="none" w:sz="0" w:space="0" w:color="auto"/>
            <w:right w:val="none" w:sz="0" w:space="0" w:color="auto"/>
          </w:divBdr>
        </w:div>
      </w:divsChild>
    </w:div>
    <w:div w:id="2033412556">
      <w:bodyDiv w:val="1"/>
      <w:marLeft w:val="0"/>
      <w:marRight w:val="0"/>
      <w:marTop w:val="0"/>
      <w:marBottom w:val="0"/>
      <w:divBdr>
        <w:top w:val="none" w:sz="0" w:space="0" w:color="auto"/>
        <w:left w:val="none" w:sz="0" w:space="0" w:color="auto"/>
        <w:bottom w:val="none" w:sz="0" w:space="0" w:color="auto"/>
        <w:right w:val="none" w:sz="0" w:space="0" w:color="auto"/>
      </w:divBdr>
      <w:divsChild>
        <w:div w:id="1353414864">
          <w:marLeft w:val="0"/>
          <w:marRight w:val="0"/>
          <w:marTop w:val="0"/>
          <w:marBottom w:val="0"/>
          <w:divBdr>
            <w:top w:val="none" w:sz="0" w:space="0" w:color="auto"/>
            <w:left w:val="none" w:sz="0" w:space="0" w:color="auto"/>
            <w:bottom w:val="none" w:sz="0" w:space="0" w:color="auto"/>
            <w:right w:val="none" w:sz="0" w:space="0" w:color="auto"/>
          </w:divBdr>
        </w:div>
      </w:divsChild>
    </w:div>
    <w:div w:id="2107067745">
      <w:bodyDiv w:val="1"/>
      <w:marLeft w:val="0"/>
      <w:marRight w:val="0"/>
      <w:marTop w:val="0"/>
      <w:marBottom w:val="0"/>
      <w:divBdr>
        <w:top w:val="none" w:sz="0" w:space="0" w:color="auto"/>
        <w:left w:val="none" w:sz="0" w:space="0" w:color="auto"/>
        <w:bottom w:val="none" w:sz="0" w:space="0" w:color="auto"/>
        <w:right w:val="none" w:sz="0" w:space="0" w:color="auto"/>
      </w:divBdr>
      <w:divsChild>
        <w:div w:id="200367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3747</Words>
  <Characters>2136</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Моцний Б. А.</dc:creator>
  <cp:lastModifiedBy>user</cp:lastModifiedBy>
  <cp:revision>3</cp:revision>
  <cp:lastPrinted>2022-07-07T07:05:00Z</cp:lastPrinted>
  <dcterms:created xsi:type="dcterms:W3CDTF">2022-07-07T08:47:00Z</dcterms:created>
  <dcterms:modified xsi:type="dcterms:W3CDTF">2022-07-08T11:27:00Z</dcterms:modified>
</cp:coreProperties>
</file>